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2C466A" w:rsidP="000E3555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2C466A" w:rsidRPr="00DC1B67" w:rsidRDefault="007F0A43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en-US"/>
        </w:rPr>
        <w:t xml:space="preserve">  </w:t>
      </w:r>
      <w:r w:rsidR="00DC1B67">
        <w:rPr>
          <w:b/>
          <w:sz w:val="28"/>
          <w:szCs w:val="28"/>
          <w:lang w:val="en-US"/>
        </w:rPr>
        <w:t xml:space="preserve">                          </w:t>
      </w:r>
    </w:p>
    <w:p w:rsidR="002C466A" w:rsidRDefault="002C466A" w:rsidP="000E355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Default="002C466A" w:rsidP="000E3555">
      <w:pPr>
        <w:jc w:val="center"/>
        <w:rPr>
          <w:sz w:val="6"/>
          <w:szCs w:val="6"/>
        </w:rPr>
      </w:pPr>
    </w:p>
    <w:p w:rsidR="002C466A" w:rsidRPr="008909DA" w:rsidRDefault="002C466A" w:rsidP="000E355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2C466A" w:rsidRDefault="00DC1B67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45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C1B67">
        <w:rPr>
          <w:sz w:val="28"/>
          <w:szCs w:val="28"/>
          <w:lang w:val="uk-UA"/>
        </w:rPr>
        <w:t xml:space="preserve"> «19» листопада 2018 року</w:t>
      </w:r>
      <w:r w:rsidR="002C466A">
        <w:rPr>
          <w:sz w:val="28"/>
          <w:szCs w:val="28"/>
          <w:lang w:val="uk-UA"/>
        </w:rPr>
        <w:t xml:space="preserve">  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>25-45/2018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CA5A7F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2013A2">
              <w:rPr>
                <w:sz w:val="28"/>
                <w:szCs w:val="28"/>
                <w:lang w:val="uk-UA"/>
              </w:rPr>
              <w:t xml:space="preserve">передачу </w:t>
            </w:r>
            <w:proofErr w:type="gramStart"/>
            <w:r w:rsidR="002013A2">
              <w:rPr>
                <w:sz w:val="28"/>
                <w:szCs w:val="28"/>
                <w:lang w:val="uk-UA"/>
              </w:rPr>
              <w:t>на</w:t>
            </w:r>
            <w:proofErr w:type="gramEnd"/>
          </w:p>
          <w:p w:rsidR="002013A2" w:rsidRPr="002013A2" w:rsidRDefault="002013A2" w:rsidP="00947DE5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балансовий облік</w:t>
            </w:r>
            <w:r w:rsidR="005B0972">
              <w:rPr>
                <w:sz w:val="28"/>
                <w:szCs w:val="28"/>
                <w:lang w:val="uk-UA"/>
              </w:rPr>
              <w:t xml:space="preserve"> майна</w:t>
            </w:r>
          </w:p>
          <w:p w:rsidR="002C466A" w:rsidRPr="00D17718" w:rsidRDefault="002C466A" w:rsidP="00CA5A7F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>враховуючи лист від державного комунального підприємства «Комунальний ринок»</w:t>
      </w:r>
      <w:r w:rsidR="00B13461">
        <w:rPr>
          <w:sz w:val="28"/>
          <w:lang w:val="uk-UA"/>
        </w:rPr>
        <w:t xml:space="preserve"> № 502 від 01</w:t>
      </w:r>
      <w:r w:rsidR="005175B5" w:rsidRPr="00C1586D">
        <w:rPr>
          <w:sz w:val="28"/>
          <w:lang w:val="uk-UA"/>
        </w:rPr>
        <w:t xml:space="preserve"> листопада 201</w:t>
      </w:r>
      <w:r w:rsidR="00B13461">
        <w:rPr>
          <w:sz w:val="28"/>
          <w:lang w:val="uk-UA"/>
        </w:rPr>
        <w:t>8</w:t>
      </w:r>
      <w:r w:rsidR="00F76B02">
        <w:rPr>
          <w:sz w:val="28"/>
          <w:lang w:val="uk-UA"/>
        </w:rPr>
        <w:t xml:space="preserve"> року</w:t>
      </w:r>
      <w:r w:rsidR="005175B5">
        <w:rPr>
          <w:sz w:val="28"/>
          <w:lang w:val="uk-UA"/>
        </w:rPr>
        <w:t>, міська рада вирішила:</w:t>
      </w:r>
    </w:p>
    <w:p w:rsidR="005B0972" w:rsidRDefault="008807EE" w:rsidP="008807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0972">
        <w:rPr>
          <w:sz w:val="28"/>
          <w:szCs w:val="28"/>
          <w:lang w:val="uk-UA"/>
        </w:rPr>
        <w:t xml:space="preserve">Зняти з </w:t>
      </w:r>
      <w:proofErr w:type="spellStart"/>
      <w:r>
        <w:rPr>
          <w:sz w:val="28"/>
          <w:szCs w:val="28"/>
          <w:lang w:val="en-US"/>
        </w:rPr>
        <w:t>балансового</w:t>
      </w:r>
      <w:proofErr w:type="spellEnd"/>
      <w:r>
        <w:rPr>
          <w:sz w:val="28"/>
          <w:szCs w:val="28"/>
          <w:lang w:val="en-US"/>
        </w:rPr>
        <w:t xml:space="preserve"> </w:t>
      </w:r>
      <w:r w:rsidR="005B0972">
        <w:rPr>
          <w:sz w:val="28"/>
          <w:szCs w:val="28"/>
          <w:lang w:val="uk-UA"/>
        </w:rPr>
        <w:t>обліку</w:t>
      </w:r>
      <w:r w:rsidR="00F43145">
        <w:rPr>
          <w:sz w:val="28"/>
          <w:szCs w:val="28"/>
          <w:lang w:val="uk-UA"/>
        </w:rPr>
        <w:t xml:space="preserve"> </w:t>
      </w:r>
      <w:r w:rsidR="00F43145">
        <w:rPr>
          <w:sz w:val="28"/>
          <w:lang w:val="uk-UA"/>
        </w:rPr>
        <w:t>державн</w:t>
      </w:r>
      <w:r w:rsidR="005B0972">
        <w:rPr>
          <w:sz w:val="28"/>
          <w:lang w:val="uk-UA"/>
        </w:rPr>
        <w:t>ого</w:t>
      </w:r>
      <w:r w:rsidR="00F43145">
        <w:rPr>
          <w:sz w:val="28"/>
          <w:lang w:val="uk-UA"/>
        </w:rPr>
        <w:t xml:space="preserve"> комунальн</w:t>
      </w:r>
      <w:r w:rsidR="005B0972">
        <w:rPr>
          <w:sz w:val="28"/>
          <w:lang w:val="uk-UA"/>
        </w:rPr>
        <w:t>ого</w:t>
      </w:r>
      <w:r w:rsidR="00F43145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</w:t>
      </w:r>
      <w:r w:rsidR="00F21BF9">
        <w:rPr>
          <w:sz w:val="28"/>
          <w:lang w:val="uk-UA"/>
        </w:rPr>
        <w:t xml:space="preserve"> </w:t>
      </w:r>
      <w:r w:rsidR="00F43145">
        <w:rPr>
          <w:sz w:val="28"/>
          <w:lang w:val="uk-UA"/>
        </w:rPr>
        <w:t>«Комунальний ринок»</w:t>
      </w:r>
      <w:r w:rsidR="00F43145" w:rsidRPr="00F43145">
        <w:rPr>
          <w:sz w:val="28"/>
          <w:lang w:val="uk-UA"/>
        </w:rPr>
        <w:t xml:space="preserve"> </w:t>
      </w:r>
      <w:r w:rsidR="005B0972">
        <w:rPr>
          <w:sz w:val="28"/>
          <w:lang w:val="uk-UA"/>
        </w:rPr>
        <w:t>майно</w:t>
      </w:r>
      <w:r>
        <w:rPr>
          <w:sz w:val="28"/>
          <w:lang w:val="uk-UA"/>
        </w:rPr>
        <w:t xml:space="preserve"> (основні засоби та товарно-матеріальні цінності) та передати на баланс Ніжинського краєзнавчого музею   імені Івана </w:t>
      </w:r>
      <w:proofErr w:type="spellStart"/>
      <w:r>
        <w:rPr>
          <w:sz w:val="28"/>
          <w:lang w:val="uk-UA"/>
        </w:rPr>
        <w:t>Спаського</w:t>
      </w:r>
      <w:proofErr w:type="spellEnd"/>
      <w:r>
        <w:rPr>
          <w:sz w:val="28"/>
          <w:lang w:val="uk-UA"/>
        </w:rPr>
        <w:t xml:space="preserve"> Ніжинської міської ради</w:t>
      </w:r>
      <w:r w:rsidR="005B0972">
        <w:rPr>
          <w:sz w:val="28"/>
          <w:lang w:val="uk-UA"/>
        </w:rPr>
        <w:t>: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натяжний банер «Містечко майстрів» 5м (1ш</w:t>
      </w:r>
      <w:r w:rsidR="008807EE">
        <w:rPr>
          <w:sz w:val="28"/>
          <w:lang w:val="uk-UA"/>
        </w:rPr>
        <w:t>т.), вартістю      1700,00 грн.</w:t>
      </w:r>
    </w:p>
    <w:p w:rsidR="008807EE" w:rsidRDefault="008807EE" w:rsidP="008807E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Зняти з </w:t>
      </w:r>
      <w:proofErr w:type="spellStart"/>
      <w:r>
        <w:rPr>
          <w:sz w:val="28"/>
          <w:szCs w:val="28"/>
          <w:lang w:val="en-US"/>
        </w:rPr>
        <w:t>балансового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>державного комунального підприємства «Комунальний ринок»</w:t>
      </w:r>
      <w:r w:rsidRPr="00F43145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майно (основні засоби та товарно-матеріальні цінності) та передати на баланс Ніжинського міського будинку культури: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сценічний костюм Гетьмана Україн</w:t>
      </w:r>
      <w:r w:rsidR="008807EE">
        <w:rPr>
          <w:sz w:val="28"/>
          <w:lang w:val="uk-UA"/>
        </w:rPr>
        <w:t>и (1шт), вартістю 10000,00 грн.;</w:t>
      </w:r>
      <w:r>
        <w:rPr>
          <w:sz w:val="28"/>
          <w:lang w:val="uk-UA"/>
        </w:rPr>
        <w:t xml:space="preserve">      - сценічний костюм Юрія Змієбор</w:t>
      </w:r>
      <w:r w:rsidR="008807EE">
        <w:rPr>
          <w:sz w:val="28"/>
          <w:lang w:val="uk-UA"/>
        </w:rPr>
        <w:t>ця (1шт), вартістю 5000,00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була</w:t>
      </w:r>
      <w:r w:rsidR="008807EE">
        <w:rPr>
          <w:sz w:val="28"/>
          <w:lang w:val="uk-UA"/>
        </w:rPr>
        <w:t>ву (1шт), вартістю 1700,00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намет для апаратур</w:t>
      </w:r>
      <w:r w:rsidR="008807EE">
        <w:rPr>
          <w:sz w:val="28"/>
          <w:lang w:val="uk-UA"/>
        </w:rPr>
        <w:t>и (1шт.), вартістю 3188,00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DBX </w:t>
      </w:r>
      <w:proofErr w:type="spellStart"/>
      <w:r>
        <w:rPr>
          <w:sz w:val="28"/>
          <w:lang w:val="uk-UA"/>
        </w:rPr>
        <w:t>Drive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Rack</w:t>
      </w:r>
      <w:proofErr w:type="spellEnd"/>
      <w:r>
        <w:rPr>
          <w:sz w:val="28"/>
          <w:lang w:val="uk-UA"/>
        </w:rPr>
        <w:t xml:space="preserve"> PA2 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контролер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акустичних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систем</w:t>
      </w:r>
      <w:proofErr w:type="spellEnd"/>
      <w:r w:rsidR="008807EE">
        <w:rPr>
          <w:sz w:val="28"/>
          <w:lang w:val="uk-UA"/>
        </w:rPr>
        <w:t xml:space="preserve"> (1шт.), вартістю 15666,67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MACKIE SRM1850 активну акустичну систему (3 шт.), зага</w:t>
      </w:r>
      <w:r w:rsidR="00396311">
        <w:rPr>
          <w:sz w:val="28"/>
          <w:lang w:val="uk-UA"/>
        </w:rPr>
        <w:t>л</w:t>
      </w:r>
      <w:r w:rsidR="008807EE">
        <w:rPr>
          <w:sz w:val="28"/>
          <w:lang w:val="uk-UA"/>
        </w:rPr>
        <w:t>ьною вартістю 93750,00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>- MACKIE SRM1850 активну акустичну системи (2 шт.), з</w:t>
      </w:r>
      <w:r w:rsidR="008807EE">
        <w:rPr>
          <w:sz w:val="28"/>
          <w:lang w:val="uk-UA"/>
        </w:rPr>
        <w:t>агальною вартістю 95833,34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MACKIE SRM1850 активну акустичну систему (3 шт.), за</w:t>
      </w:r>
      <w:r w:rsidR="008807EE">
        <w:rPr>
          <w:sz w:val="28"/>
          <w:lang w:val="uk-UA"/>
        </w:rPr>
        <w:t>гальною вартістю 100281,25 грн.;</w:t>
      </w:r>
      <w:r>
        <w:rPr>
          <w:sz w:val="28"/>
          <w:lang w:val="uk-UA"/>
        </w:rPr>
        <w:t xml:space="preserve">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MACKIE SRM650 активну акустичну систему (2 шт.), загальною вартістю 41666,66 грн.</w:t>
      </w:r>
      <w:r w:rsidR="008807EE"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  </w:t>
      </w:r>
    </w:p>
    <w:p w:rsidR="00F21BF9" w:rsidRDefault="00F21BF9" w:rsidP="00F21BF9">
      <w:pPr>
        <w:pStyle w:val="a5"/>
        <w:shd w:val="clear" w:color="auto" w:fill="FFFFFF"/>
        <w:spacing w:before="0" w:beforeAutospacing="0" w:after="0" w:afterAutospacing="0"/>
        <w:ind w:left="106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lang w:val="en-US"/>
        </w:rPr>
        <w:t>QUIK LOK BOX/641-30K</w:t>
      </w:r>
      <w:r>
        <w:rPr>
          <w:sz w:val="28"/>
          <w:lang w:val="uk-UA"/>
        </w:rPr>
        <w:t xml:space="preserve"> акустичний кабель з’єднувача деталей (1шт.), вартістю 24097,50 грн.</w:t>
      </w:r>
    </w:p>
    <w:p w:rsidR="00D51F7A" w:rsidRDefault="00D51F7A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</w:t>
      </w:r>
      <w:r w:rsidR="00F21BF9">
        <w:rPr>
          <w:sz w:val="28"/>
          <w:szCs w:val="28"/>
          <w:lang w:val="uk-UA"/>
        </w:rPr>
        <w:t xml:space="preserve">ідприємствам </w:t>
      </w:r>
      <w:proofErr w:type="spellStart"/>
      <w:r w:rsidR="00F21BF9">
        <w:rPr>
          <w:sz w:val="28"/>
          <w:szCs w:val="28"/>
          <w:lang w:val="uk-UA"/>
        </w:rPr>
        <w:t>балансоутримувачам</w:t>
      </w:r>
      <w:proofErr w:type="spellEnd"/>
      <w:r>
        <w:rPr>
          <w:sz w:val="28"/>
          <w:szCs w:val="28"/>
          <w:lang w:val="uk-UA"/>
        </w:rPr>
        <w:t xml:space="preserve"> забезпечити приймання – передачу майна у місячний термін.</w:t>
      </w:r>
    </w:p>
    <w:p w:rsidR="004D3CFE" w:rsidRPr="0063239F" w:rsidRDefault="00D850E0" w:rsidP="004D3CF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D3CFE">
        <w:rPr>
          <w:sz w:val="28"/>
          <w:szCs w:val="28"/>
          <w:lang w:val="uk-UA"/>
        </w:rPr>
        <w:t>. Начальнику в</w:t>
      </w:r>
      <w:r w:rsidR="004D3CFE" w:rsidRPr="0063239F">
        <w:rPr>
          <w:sz w:val="28"/>
          <w:szCs w:val="28"/>
          <w:lang w:val="uk-UA"/>
        </w:rPr>
        <w:t>ідділу з управління та п</w:t>
      </w:r>
      <w:r w:rsidR="004D3CFE"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r w:rsidR="002A12E3">
        <w:rPr>
          <w:sz w:val="28"/>
          <w:szCs w:val="28"/>
          <w:lang w:val="en-US"/>
        </w:rPr>
        <w:t>(</w:t>
      </w:r>
      <w:r w:rsidR="004D3CFE">
        <w:rPr>
          <w:sz w:val="28"/>
          <w:szCs w:val="28"/>
          <w:lang w:val="uk-UA"/>
        </w:rPr>
        <w:t>Міщенко Н.І.</w:t>
      </w:r>
      <w:r w:rsidR="002A12E3">
        <w:rPr>
          <w:sz w:val="28"/>
          <w:szCs w:val="28"/>
          <w:lang w:val="en-US"/>
        </w:rPr>
        <w:t>)</w:t>
      </w:r>
      <w:r w:rsidR="004D3CFE">
        <w:rPr>
          <w:sz w:val="28"/>
          <w:szCs w:val="28"/>
          <w:lang w:val="uk-UA"/>
        </w:rPr>
        <w:t xml:space="preserve">, </w:t>
      </w:r>
      <w:r w:rsidR="004D3CFE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4D3CFE">
        <w:rPr>
          <w:sz w:val="28"/>
          <w:szCs w:val="28"/>
          <w:lang w:val="uk-UA"/>
        </w:rPr>
        <w:t xml:space="preserve">офіційному </w:t>
      </w:r>
      <w:r w:rsidR="004D3CFE" w:rsidRPr="0063239F">
        <w:rPr>
          <w:sz w:val="28"/>
          <w:szCs w:val="28"/>
          <w:lang w:val="uk-UA"/>
        </w:rPr>
        <w:t xml:space="preserve">сайті </w:t>
      </w:r>
      <w:r w:rsidR="004D3CFE">
        <w:rPr>
          <w:sz w:val="28"/>
          <w:szCs w:val="28"/>
          <w:lang w:val="uk-UA"/>
        </w:rPr>
        <w:t xml:space="preserve">Ніжинської міської ради </w:t>
      </w:r>
      <w:r w:rsidR="004D3CFE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D51F7A" w:rsidRDefault="00D850E0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1F7A">
        <w:rPr>
          <w:sz w:val="28"/>
          <w:szCs w:val="28"/>
          <w:lang w:val="uk-UA"/>
        </w:rPr>
        <w:t xml:space="preserve">. </w:t>
      </w:r>
      <w:r w:rsidR="00D51F7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D51F7A">
        <w:rPr>
          <w:sz w:val="28"/>
          <w:szCs w:val="28"/>
          <w:lang w:val="uk-UA"/>
        </w:rPr>
        <w:t xml:space="preserve"> </w:t>
      </w:r>
      <w:r w:rsidR="00D51F7A" w:rsidRPr="009C0445">
        <w:rPr>
          <w:sz w:val="28"/>
          <w:szCs w:val="28"/>
          <w:lang w:val="uk-UA"/>
        </w:rPr>
        <w:t>М.,</w:t>
      </w:r>
      <w:r w:rsidR="00D51F7A">
        <w:rPr>
          <w:sz w:val="28"/>
          <w:szCs w:val="28"/>
          <w:lang w:val="uk-UA"/>
        </w:rPr>
        <w:t xml:space="preserve"> директора державного комунального підприємства «Комун</w:t>
      </w:r>
      <w:r w:rsidR="007306A4">
        <w:rPr>
          <w:sz w:val="28"/>
          <w:szCs w:val="28"/>
          <w:lang w:val="uk-UA"/>
        </w:rPr>
        <w:t xml:space="preserve">альний ринок» </w:t>
      </w:r>
      <w:proofErr w:type="spellStart"/>
      <w:r w:rsidR="007306A4">
        <w:rPr>
          <w:sz w:val="28"/>
          <w:szCs w:val="28"/>
          <w:lang w:val="uk-UA"/>
        </w:rPr>
        <w:t>Павлюченка</w:t>
      </w:r>
      <w:proofErr w:type="spellEnd"/>
      <w:r w:rsidR="007306A4">
        <w:rPr>
          <w:sz w:val="28"/>
          <w:szCs w:val="28"/>
          <w:lang w:val="uk-UA"/>
        </w:rPr>
        <w:t xml:space="preserve"> В. Д., </w:t>
      </w:r>
      <w:r w:rsidR="00587D3F">
        <w:rPr>
          <w:sz w:val="28"/>
          <w:szCs w:val="28"/>
          <w:lang w:val="uk-UA"/>
        </w:rPr>
        <w:t>директора Ніжинсь</w:t>
      </w:r>
      <w:r w:rsidR="004D3CFE">
        <w:rPr>
          <w:sz w:val="28"/>
          <w:szCs w:val="28"/>
          <w:lang w:val="uk-UA"/>
        </w:rPr>
        <w:t>кого краєзнавчого музею імені Івана</w:t>
      </w:r>
      <w:r w:rsidR="00587D3F">
        <w:rPr>
          <w:sz w:val="28"/>
          <w:szCs w:val="28"/>
          <w:lang w:val="uk-UA"/>
        </w:rPr>
        <w:t xml:space="preserve"> </w:t>
      </w:r>
      <w:proofErr w:type="spellStart"/>
      <w:r w:rsidR="00587D3F">
        <w:rPr>
          <w:sz w:val="28"/>
          <w:szCs w:val="28"/>
          <w:lang w:val="uk-UA"/>
        </w:rPr>
        <w:t>Спаського</w:t>
      </w:r>
      <w:proofErr w:type="spellEnd"/>
      <w:r w:rsidR="00587D3F">
        <w:rPr>
          <w:sz w:val="28"/>
          <w:szCs w:val="28"/>
          <w:lang w:val="uk-UA"/>
        </w:rPr>
        <w:t xml:space="preserve"> </w:t>
      </w:r>
      <w:r w:rsidR="002A12E3">
        <w:rPr>
          <w:sz w:val="28"/>
          <w:szCs w:val="28"/>
          <w:lang w:val="uk-UA"/>
        </w:rPr>
        <w:t xml:space="preserve">Ніжинської міської ради  </w:t>
      </w:r>
      <w:proofErr w:type="spellStart"/>
      <w:r w:rsidR="00587D3F">
        <w:rPr>
          <w:sz w:val="28"/>
          <w:szCs w:val="28"/>
          <w:lang w:val="uk-UA"/>
        </w:rPr>
        <w:t>Дудченка</w:t>
      </w:r>
      <w:proofErr w:type="spellEnd"/>
      <w:r w:rsidR="00587D3F">
        <w:rPr>
          <w:sz w:val="28"/>
          <w:szCs w:val="28"/>
          <w:lang w:val="uk-UA"/>
        </w:rPr>
        <w:t xml:space="preserve"> Г. М., </w:t>
      </w:r>
      <w:proofErr w:type="spellStart"/>
      <w:r w:rsidR="008133B4">
        <w:rPr>
          <w:sz w:val="28"/>
          <w:szCs w:val="28"/>
          <w:lang w:val="uk-UA"/>
        </w:rPr>
        <w:t>в.о</w:t>
      </w:r>
      <w:proofErr w:type="spellEnd"/>
      <w:r w:rsidR="008133B4">
        <w:rPr>
          <w:sz w:val="28"/>
          <w:szCs w:val="28"/>
          <w:lang w:val="uk-UA"/>
        </w:rPr>
        <w:t xml:space="preserve">. </w:t>
      </w:r>
      <w:r w:rsidR="00587D3F">
        <w:rPr>
          <w:sz w:val="28"/>
          <w:szCs w:val="28"/>
          <w:lang w:val="uk-UA"/>
        </w:rPr>
        <w:t>директора Ніжинського місько</w:t>
      </w:r>
      <w:r w:rsidR="008133B4">
        <w:rPr>
          <w:sz w:val="28"/>
          <w:szCs w:val="28"/>
          <w:lang w:val="uk-UA"/>
        </w:rPr>
        <w:t xml:space="preserve">го будинку культури </w:t>
      </w:r>
      <w:proofErr w:type="spellStart"/>
      <w:r w:rsidR="00CF6EA0">
        <w:rPr>
          <w:sz w:val="28"/>
          <w:szCs w:val="28"/>
          <w:lang w:val="uk-UA"/>
        </w:rPr>
        <w:t>Литвинець</w:t>
      </w:r>
      <w:proofErr w:type="spellEnd"/>
      <w:r w:rsidR="00CF6EA0">
        <w:rPr>
          <w:sz w:val="28"/>
          <w:szCs w:val="28"/>
          <w:lang w:val="uk-UA"/>
        </w:rPr>
        <w:t xml:space="preserve"> І.П.</w:t>
      </w:r>
    </w:p>
    <w:p w:rsidR="00B87E7F" w:rsidRDefault="00D850E0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депутатську комісію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B87E7F" w:rsidRDefault="00B87E7F" w:rsidP="00B87E7F">
      <w:pPr>
        <w:ind w:firstLine="0"/>
        <w:rPr>
          <w:b/>
          <w:sz w:val="28"/>
          <w:szCs w:val="28"/>
          <w:lang w:val="uk-UA"/>
        </w:rPr>
      </w:pPr>
    </w:p>
    <w:p w:rsidR="002B50E2" w:rsidRPr="00B87E7F" w:rsidRDefault="005175B5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587D3F" w:rsidRPr="00587D3F">
        <w:rPr>
          <w:b/>
          <w:sz w:val="28"/>
          <w:szCs w:val="28"/>
          <w:lang w:val="uk-UA"/>
        </w:rPr>
        <w:t>А.</w:t>
      </w:r>
      <w:r w:rsidR="00B87E7F">
        <w:rPr>
          <w:b/>
          <w:sz w:val="28"/>
          <w:szCs w:val="28"/>
          <w:lang w:val="uk-UA"/>
        </w:rPr>
        <w:t xml:space="preserve"> </w:t>
      </w:r>
      <w:r w:rsidR="00587D3F" w:rsidRPr="00587D3F">
        <w:rPr>
          <w:b/>
          <w:sz w:val="28"/>
          <w:szCs w:val="28"/>
          <w:lang w:val="uk-UA"/>
        </w:rPr>
        <w:t>В. Лінн</w:t>
      </w:r>
      <w:r>
        <w:rPr>
          <w:b/>
          <w:sz w:val="28"/>
          <w:szCs w:val="28"/>
          <w:lang w:val="uk-UA"/>
        </w:rPr>
        <w:t>ик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263B6" w:rsidTr="00F8620D">
        <w:tc>
          <w:tcPr>
            <w:tcW w:w="4644" w:type="dxa"/>
          </w:tcPr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F950DB" w:rsidRDefault="00F950DB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7263B6" w:rsidRPr="00E03E35" w:rsidRDefault="00DC1B67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Візують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CF6EA0">
              <w:rPr>
                <w:sz w:val="28"/>
                <w:lang w:val="uk-UA"/>
              </w:rPr>
              <w:t>Н.І. Міщенко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7263B6" w:rsidRPr="00E03E35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Г. М. Олійник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В. В. Салогуб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В. О. Лега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263B6" w:rsidRPr="009E3BD0" w:rsidRDefault="00A42FCB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426576" w:rsidP="00B87E7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Pr="00253CDA">
        <w:rPr>
          <w:sz w:val="28"/>
          <w:szCs w:val="28"/>
          <w:lang w:val="uk-UA"/>
        </w:rPr>
        <w:t xml:space="preserve"> Закону України “</w:t>
      </w:r>
      <w:r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місцеве самоврядування в України </w:t>
      </w:r>
      <w:r w:rsidRPr="00253CDA">
        <w:rPr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державного комунального підприємства «Комунальний ринок»</w:t>
      </w:r>
      <w:r>
        <w:rPr>
          <w:sz w:val="28"/>
          <w:lang w:val="uk-UA"/>
        </w:rPr>
        <w:t xml:space="preserve"> № 502 від 01</w:t>
      </w:r>
      <w:r w:rsidRPr="00C1586D">
        <w:rPr>
          <w:sz w:val="28"/>
          <w:lang w:val="uk-UA"/>
        </w:rPr>
        <w:t xml:space="preserve"> листопада 201</w:t>
      </w:r>
      <w:r>
        <w:rPr>
          <w:sz w:val="28"/>
          <w:lang w:val="uk-UA"/>
        </w:rPr>
        <w:t>8</w:t>
      </w:r>
      <w:r w:rsidRPr="00C1586D">
        <w:rPr>
          <w:sz w:val="28"/>
          <w:lang w:val="uk-UA"/>
        </w:rPr>
        <w:t xml:space="preserve"> року щодо можливості передачі основних засобів та товарно-матеріальних цінностей, придбаних за кошти отримані від Покровського ярмарку 201</w:t>
      </w:r>
      <w:r>
        <w:rPr>
          <w:sz w:val="28"/>
          <w:lang w:val="uk-UA"/>
        </w:rPr>
        <w:t xml:space="preserve">8 для подальшого використання </w:t>
      </w:r>
      <w:proofErr w:type="spellStart"/>
      <w:r>
        <w:rPr>
          <w:sz w:val="28"/>
          <w:lang w:val="uk-UA"/>
        </w:rPr>
        <w:t>слідуючим</w:t>
      </w:r>
      <w:proofErr w:type="spellEnd"/>
      <w:r>
        <w:rPr>
          <w:sz w:val="28"/>
          <w:lang w:val="uk-UA"/>
        </w:rPr>
        <w:t xml:space="preserve"> установам: Ніжинськи</w:t>
      </w:r>
      <w:r w:rsidR="00A0672D">
        <w:rPr>
          <w:sz w:val="28"/>
          <w:lang w:val="uk-UA"/>
        </w:rPr>
        <w:t>й краєзнавчий музей імені     Івана</w:t>
      </w:r>
      <w:r>
        <w:rPr>
          <w:sz w:val="28"/>
          <w:lang w:val="uk-UA"/>
        </w:rPr>
        <w:t xml:space="preserve"> </w:t>
      </w:r>
      <w:proofErr w:type="spellStart"/>
      <w:r w:rsidR="00A0672D">
        <w:rPr>
          <w:sz w:val="28"/>
          <w:lang w:val="uk-UA"/>
        </w:rPr>
        <w:t>Спаського</w:t>
      </w:r>
      <w:proofErr w:type="spellEnd"/>
      <w:r w:rsidR="00B65A2A">
        <w:rPr>
          <w:sz w:val="28"/>
          <w:lang w:val="uk-UA"/>
        </w:rPr>
        <w:t xml:space="preserve"> Ніжинської міської ради</w:t>
      </w:r>
      <w:r w:rsidR="00A0672D">
        <w:rPr>
          <w:sz w:val="28"/>
          <w:lang w:val="uk-UA"/>
        </w:rPr>
        <w:t xml:space="preserve"> та</w:t>
      </w:r>
      <w:r w:rsidRPr="00C1586D">
        <w:rPr>
          <w:sz w:val="28"/>
          <w:lang w:val="uk-UA"/>
        </w:rPr>
        <w:t xml:space="preserve"> Ніжинськ</w:t>
      </w:r>
      <w:r>
        <w:rPr>
          <w:sz w:val="28"/>
          <w:lang w:val="uk-UA"/>
        </w:rPr>
        <w:t xml:space="preserve">ий міський будинок культури, </w:t>
      </w:r>
      <w:r w:rsidR="00B87E7F">
        <w:rPr>
          <w:sz w:val="28"/>
          <w:lang w:val="uk-UA"/>
        </w:rPr>
        <w:t>підготовлений даний проект рішення.</w:t>
      </w: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Pr="009278A3" w:rsidRDefault="00B87E7F" w:rsidP="00B87E7F">
      <w:pPr>
        <w:ind w:firstLine="0"/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Начальник відділу з управління </w:t>
      </w:r>
    </w:p>
    <w:p w:rsidR="00B87E7F" w:rsidRPr="009278A3" w:rsidRDefault="00B87E7F" w:rsidP="00B87E7F">
      <w:pPr>
        <w:ind w:firstLine="0"/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та приватизації комунального майна </w:t>
      </w:r>
      <w:r w:rsidRPr="009278A3">
        <w:rPr>
          <w:sz w:val="28"/>
          <w:szCs w:val="28"/>
          <w:lang w:val="uk-UA"/>
        </w:rPr>
        <w:tab/>
      </w:r>
      <w:r w:rsidRPr="009278A3">
        <w:rPr>
          <w:sz w:val="28"/>
          <w:szCs w:val="28"/>
          <w:lang w:val="uk-UA"/>
        </w:rPr>
        <w:tab/>
        <w:t xml:space="preserve"> </w:t>
      </w:r>
      <w:r w:rsidRPr="009278A3">
        <w:rPr>
          <w:sz w:val="28"/>
          <w:szCs w:val="28"/>
          <w:lang w:val="uk-UA"/>
        </w:rPr>
        <w:tab/>
      </w:r>
      <w:r w:rsidR="00A067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BF6208">
        <w:rPr>
          <w:sz w:val="28"/>
          <w:szCs w:val="28"/>
          <w:lang w:val="uk-UA"/>
        </w:rPr>
        <w:t>Н.І. Міщенко</w:t>
      </w:r>
      <w:r w:rsidRPr="009278A3">
        <w:rPr>
          <w:sz w:val="28"/>
          <w:szCs w:val="28"/>
          <w:lang w:val="uk-UA"/>
        </w:rPr>
        <w:tab/>
      </w:r>
    </w:p>
    <w:p w:rsidR="00B87E7F" w:rsidRDefault="00B87E7F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3E35" w:rsidRDefault="00E03E35" w:rsidP="00E03E3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263B6" w:rsidRPr="006370AC" w:rsidRDefault="007263B6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sectPr w:rsidR="007263B6" w:rsidRPr="006370AC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45B09"/>
    <w:rsid w:val="0006134D"/>
    <w:rsid w:val="000A1D84"/>
    <w:rsid w:val="000B791A"/>
    <w:rsid w:val="000E3555"/>
    <w:rsid w:val="00131BED"/>
    <w:rsid w:val="00135349"/>
    <w:rsid w:val="001C3783"/>
    <w:rsid w:val="001E2494"/>
    <w:rsid w:val="002013A2"/>
    <w:rsid w:val="00281E32"/>
    <w:rsid w:val="002A12E3"/>
    <w:rsid w:val="002B50E2"/>
    <w:rsid w:val="002C466A"/>
    <w:rsid w:val="00393DDE"/>
    <w:rsid w:val="00396311"/>
    <w:rsid w:val="00426576"/>
    <w:rsid w:val="004B3DE7"/>
    <w:rsid w:val="004D3CFE"/>
    <w:rsid w:val="004E59B5"/>
    <w:rsid w:val="005144E1"/>
    <w:rsid w:val="005175B5"/>
    <w:rsid w:val="005472E3"/>
    <w:rsid w:val="00587D3F"/>
    <w:rsid w:val="005A0C30"/>
    <w:rsid w:val="005A1C36"/>
    <w:rsid w:val="005B0972"/>
    <w:rsid w:val="005E508F"/>
    <w:rsid w:val="005F2AFD"/>
    <w:rsid w:val="005F36F1"/>
    <w:rsid w:val="00610A0F"/>
    <w:rsid w:val="00625DE9"/>
    <w:rsid w:val="00635A5F"/>
    <w:rsid w:val="006370AC"/>
    <w:rsid w:val="006912CD"/>
    <w:rsid w:val="007263B6"/>
    <w:rsid w:val="007306A4"/>
    <w:rsid w:val="00781F14"/>
    <w:rsid w:val="007F0A43"/>
    <w:rsid w:val="008133B4"/>
    <w:rsid w:val="0088007A"/>
    <w:rsid w:val="008807EE"/>
    <w:rsid w:val="0088508E"/>
    <w:rsid w:val="009122E8"/>
    <w:rsid w:val="00947C69"/>
    <w:rsid w:val="00947DE5"/>
    <w:rsid w:val="00957018"/>
    <w:rsid w:val="009E3B35"/>
    <w:rsid w:val="009E3BD0"/>
    <w:rsid w:val="00A0672D"/>
    <w:rsid w:val="00A42FCB"/>
    <w:rsid w:val="00AD6B62"/>
    <w:rsid w:val="00B13461"/>
    <w:rsid w:val="00B46419"/>
    <w:rsid w:val="00B502DB"/>
    <w:rsid w:val="00B65A2A"/>
    <w:rsid w:val="00B87E7F"/>
    <w:rsid w:val="00BA14F7"/>
    <w:rsid w:val="00BF5204"/>
    <w:rsid w:val="00BF6208"/>
    <w:rsid w:val="00CA5A7F"/>
    <w:rsid w:val="00CC7F85"/>
    <w:rsid w:val="00CF6EA0"/>
    <w:rsid w:val="00D11DB8"/>
    <w:rsid w:val="00D51F7A"/>
    <w:rsid w:val="00D850E0"/>
    <w:rsid w:val="00DB2513"/>
    <w:rsid w:val="00DC1B67"/>
    <w:rsid w:val="00DF7011"/>
    <w:rsid w:val="00E03E35"/>
    <w:rsid w:val="00E57831"/>
    <w:rsid w:val="00E57AEA"/>
    <w:rsid w:val="00EA5C05"/>
    <w:rsid w:val="00ED314E"/>
    <w:rsid w:val="00F17E68"/>
    <w:rsid w:val="00F21BF9"/>
    <w:rsid w:val="00F36D57"/>
    <w:rsid w:val="00F43145"/>
    <w:rsid w:val="00F76B02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25</cp:revision>
  <cp:lastPrinted>2018-11-20T06:05:00Z</cp:lastPrinted>
  <dcterms:created xsi:type="dcterms:W3CDTF">2018-11-12T09:00:00Z</dcterms:created>
  <dcterms:modified xsi:type="dcterms:W3CDTF">2018-11-20T06:20:00Z</dcterms:modified>
</cp:coreProperties>
</file>